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9BC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19"/>
          <w:szCs w:val="19"/>
          <w:shd w:val="clear" w:color="auto" w:fill="FFFFFF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附 件：</w:t>
      </w:r>
    </w:p>
    <w:p w14:paraId="31D0E121">
      <w:pPr>
        <w:tabs>
          <w:tab w:val="center" w:pos="7039"/>
          <w:tab w:val="left" w:pos="12079"/>
        </w:tabs>
        <w:jc w:val="lef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灵宝市收回收购存量闲置土地申报表</w:t>
      </w:r>
      <w:bookmarkEnd w:id="0"/>
    </w:p>
    <w:p w14:paraId="5A91F53D">
      <w:pPr>
        <w:tabs>
          <w:tab w:val="center" w:pos="7039"/>
          <w:tab w:val="left" w:pos="12079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时间：</w:t>
      </w:r>
    </w:p>
    <w:tbl>
      <w:tblPr>
        <w:tblStyle w:val="4"/>
        <w:tblW w:w="13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66"/>
        <w:gridCol w:w="1673"/>
        <w:gridCol w:w="2262"/>
        <w:gridCol w:w="2215"/>
        <w:gridCol w:w="1731"/>
        <w:gridCol w:w="1766"/>
        <w:gridCol w:w="969"/>
      </w:tblGrid>
      <w:tr w14:paraId="7CE6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30" w:type="dxa"/>
            <w:vAlign w:val="center"/>
          </w:tcPr>
          <w:p w14:paraId="32B5BE5B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土地权利人</w:t>
            </w:r>
          </w:p>
        </w:tc>
        <w:tc>
          <w:tcPr>
            <w:tcW w:w="1466" w:type="dxa"/>
            <w:vAlign w:val="center"/>
          </w:tcPr>
          <w:p w14:paraId="0C49724F"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取得方式</w:t>
            </w:r>
          </w:p>
        </w:tc>
        <w:tc>
          <w:tcPr>
            <w:tcW w:w="1673" w:type="dxa"/>
            <w:vAlign w:val="center"/>
          </w:tcPr>
          <w:p w14:paraId="1B57B67A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土地坐落</w:t>
            </w:r>
          </w:p>
        </w:tc>
        <w:tc>
          <w:tcPr>
            <w:tcW w:w="2262" w:type="dxa"/>
            <w:vAlign w:val="center"/>
          </w:tcPr>
          <w:p w14:paraId="44C85E2D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土地用途</w:t>
            </w:r>
          </w:p>
        </w:tc>
        <w:tc>
          <w:tcPr>
            <w:tcW w:w="2215" w:type="dxa"/>
            <w:vAlign w:val="center"/>
          </w:tcPr>
          <w:p w14:paraId="743442BF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合同编号或</w:t>
            </w:r>
          </w:p>
          <w:p w14:paraId="4DC80D2C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电子监管号</w:t>
            </w:r>
          </w:p>
        </w:tc>
        <w:tc>
          <w:tcPr>
            <w:tcW w:w="1731" w:type="dxa"/>
            <w:vAlign w:val="center"/>
          </w:tcPr>
          <w:p w14:paraId="67DC15A1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取得土地价款</w:t>
            </w:r>
          </w:p>
        </w:tc>
        <w:tc>
          <w:tcPr>
            <w:tcW w:w="1766" w:type="dxa"/>
            <w:vAlign w:val="center"/>
          </w:tcPr>
          <w:p w14:paraId="0E38C4A5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意向收购价款</w:t>
            </w:r>
          </w:p>
        </w:tc>
        <w:tc>
          <w:tcPr>
            <w:tcW w:w="969" w:type="dxa"/>
            <w:vAlign w:val="center"/>
          </w:tcPr>
          <w:p w14:paraId="1E4E1185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6594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30" w:type="dxa"/>
            <w:vAlign w:val="center"/>
          </w:tcPr>
          <w:p w14:paraId="2330CBE0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6" w:type="dxa"/>
            <w:vAlign w:val="center"/>
          </w:tcPr>
          <w:p w14:paraId="12E4DEE1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673" w:type="dxa"/>
          </w:tcPr>
          <w:p w14:paraId="0DEEAA3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62" w:type="dxa"/>
          </w:tcPr>
          <w:p w14:paraId="0BF226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15" w:type="dxa"/>
          </w:tcPr>
          <w:p w14:paraId="62CEECE1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31" w:type="dxa"/>
          </w:tcPr>
          <w:p w14:paraId="31BC1C4C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6" w:type="dxa"/>
            <w:vAlign w:val="center"/>
          </w:tcPr>
          <w:p w14:paraId="29408F12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9" w:type="dxa"/>
            <w:vAlign w:val="center"/>
          </w:tcPr>
          <w:p w14:paraId="75815C58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527F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30" w:type="dxa"/>
            <w:vAlign w:val="center"/>
          </w:tcPr>
          <w:p w14:paraId="0B5A5C55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6" w:type="dxa"/>
            <w:vAlign w:val="center"/>
          </w:tcPr>
          <w:p w14:paraId="77A3858B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673" w:type="dxa"/>
          </w:tcPr>
          <w:p w14:paraId="608E966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62" w:type="dxa"/>
          </w:tcPr>
          <w:p w14:paraId="5A1FE3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15" w:type="dxa"/>
          </w:tcPr>
          <w:p w14:paraId="044378E1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31" w:type="dxa"/>
          </w:tcPr>
          <w:p w14:paraId="274F070C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66" w:type="dxa"/>
            <w:vAlign w:val="center"/>
          </w:tcPr>
          <w:p w14:paraId="2A6B6FBF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9" w:type="dxa"/>
            <w:vAlign w:val="center"/>
          </w:tcPr>
          <w:p w14:paraId="79F432AB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6EFB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30" w:type="dxa"/>
            <w:vAlign w:val="center"/>
          </w:tcPr>
          <w:p w14:paraId="5A2CEAC0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6" w:type="dxa"/>
            <w:vAlign w:val="center"/>
          </w:tcPr>
          <w:p w14:paraId="02E336A7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vAlign w:val="center"/>
          </w:tcPr>
          <w:p w14:paraId="42219879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62" w:type="dxa"/>
            <w:vAlign w:val="center"/>
          </w:tcPr>
          <w:p w14:paraId="5ABCE5BC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15" w:type="dxa"/>
            <w:vAlign w:val="center"/>
          </w:tcPr>
          <w:p w14:paraId="7A618314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vAlign w:val="center"/>
          </w:tcPr>
          <w:p w14:paraId="464864D7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66" w:type="dxa"/>
            <w:vAlign w:val="center"/>
          </w:tcPr>
          <w:p w14:paraId="50BDF8F0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9" w:type="dxa"/>
            <w:vAlign w:val="center"/>
          </w:tcPr>
          <w:p w14:paraId="7E1610E7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362F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30" w:type="dxa"/>
            <w:vAlign w:val="center"/>
          </w:tcPr>
          <w:p w14:paraId="6CAFF7C7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66" w:type="dxa"/>
            <w:vAlign w:val="center"/>
          </w:tcPr>
          <w:p w14:paraId="40A5F7DA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vAlign w:val="center"/>
          </w:tcPr>
          <w:p w14:paraId="73E434E6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62" w:type="dxa"/>
            <w:vAlign w:val="center"/>
          </w:tcPr>
          <w:p w14:paraId="75E65263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15" w:type="dxa"/>
            <w:vAlign w:val="center"/>
          </w:tcPr>
          <w:p w14:paraId="073E530F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vAlign w:val="center"/>
          </w:tcPr>
          <w:p w14:paraId="59ED5D84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66" w:type="dxa"/>
            <w:vAlign w:val="center"/>
          </w:tcPr>
          <w:p w14:paraId="0AF6DCA3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9" w:type="dxa"/>
            <w:vAlign w:val="center"/>
          </w:tcPr>
          <w:p w14:paraId="17607C21"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43ABB076">
      <w:pPr>
        <w:pStyle w:val="2"/>
        <w:widowControl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</w:rPr>
        <w:t>注：1.企业无力或无意愿继续开发的住宅用地和商服用地，已供应未动工或已开工未竣工的住宅用地和商服用地。2.共它用途的用地。3.进入司法进入司法或破产拍卖、变卖程序的土地。4.因低效用地再开发或基础设施建设等需要收回的土地。5.以及已动工地块中规划可分割暂未建设的部分，也可以纳入收回收购范围。每宗地块对应一个申报表，如同一企业有多宗地块的分宗填报地块情况。</w:t>
      </w:r>
    </w:p>
    <w:p w14:paraId="1AB3E614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6D15"/>
    <w:rsid w:val="3F4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2025-01-10T00:43:00Z</dcterms:created>
  <dc:creator>李飞</dc:creator>
  <cp:lastModifiedBy>李飞</cp:lastModifiedBy>
  <dcterms:modified xsi:type="dcterms:W3CDTF">2025-01-10T00:45:19Z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1099752A51644743A9D604AB62A979C7_11</vt:lpwstr>
  </property>
  <property fmtid="{D5CDD505-2E9C-101B-9397-08002B2CF9AE}" pid="4" name="KSOTemplateDocerSaveRecord">
    <vt:lpwstr>eyJoZGlkIjoiYjFmYWY3MWQzODAxNzVlMGI1ZTcxODFiMGY5NjM3NDMiLCJ1c2VySWQiOiIyMjk5NzY2OTEifQ==</vt:lpwstr>
  </property>
</Properties>
</file>